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66" w:rsidRPr="002A4C66" w:rsidRDefault="002A4C66" w:rsidP="002A4C66">
      <w:pPr>
        <w:spacing w:after="0" w:line="264" w:lineRule="auto"/>
        <w:outlineLvl w:val="1"/>
        <w:rPr>
          <w:rFonts w:ascii="Cuprum" w:eastAsia="Times New Roman" w:hAnsi="Cuprum" w:cs="Times New Roman"/>
          <w:color w:val="444444"/>
          <w:sz w:val="54"/>
          <w:szCs w:val="54"/>
          <w:lang w:eastAsia="ru-RU"/>
        </w:rPr>
      </w:pPr>
      <w:r w:rsidRPr="002A4C66">
        <w:rPr>
          <w:rFonts w:ascii="Cuprum" w:eastAsia="Times New Roman" w:hAnsi="Cuprum" w:cs="Times New Roman"/>
          <w:color w:val="444444"/>
          <w:sz w:val="54"/>
          <w:szCs w:val="54"/>
          <w:lang w:eastAsia="ru-RU"/>
        </w:rPr>
        <w:t xml:space="preserve">Комментарии к ФГОС дошкольного образования. Минобрнауки России от 28 февраля 2014 года №08-249 </w:t>
      </w:r>
    </w:p>
    <w:p w:rsidR="002A4C66" w:rsidRPr="002A4C66" w:rsidRDefault="002A4C66" w:rsidP="002A4C66">
      <w:pPr>
        <w:numPr>
          <w:ilvl w:val="0"/>
          <w:numId w:val="1"/>
        </w:numPr>
        <w:pBdr>
          <w:left w:val="single" w:sz="6" w:space="6" w:color="CCCCCC"/>
        </w:pBdr>
        <w:shd w:val="clear" w:color="auto" w:fill="F7FAFE"/>
        <w:spacing w:after="0" w:line="300" w:lineRule="atLeast"/>
        <w:ind w:left="0"/>
        <w:jc w:val="center"/>
        <w:rPr>
          <w:rFonts w:ascii="PT Sans" w:eastAsia="Times New Roman" w:hAnsi="PT Sans" w:cs="Times New Roman"/>
          <w:color w:val="444444"/>
          <w:sz w:val="18"/>
          <w:szCs w:val="18"/>
          <w:lang w:eastAsia="ru-RU"/>
        </w:rPr>
      </w:pPr>
      <w:hyperlink r:id="rId6" w:history="1">
        <w:r w:rsidRPr="002A4C66">
          <w:rPr>
            <w:rFonts w:ascii="PT Sans" w:eastAsia="Times New Roman" w:hAnsi="PT Sans" w:cs="Times New Roman"/>
            <w:color w:val="4488BB"/>
            <w:sz w:val="18"/>
            <w:szCs w:val="18"/>
            <w:lang w:eastAsia="ru-RU"/>
          </w:rPr>
          <w:t xml:space="preserve">Печать </w:t>
        </w:r>
      </w:hyperlink>
    </w:p>
    <w:p w:rsidR="002A4C66" w:rsidRPr="002A4C66" w:rsidRDefault="002A4C66" w:rsidP="002A4C66">
      <w:pPr>
        <w:spacing w:before="100" w:beforeAutospacing="1" w:after="100" w:afterAutospacing="1" w:line="300" w:lineRule="atLeast"/>
        <w:jc w:val="righ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Органы государственной власти</w:t>
      </w:r>
    </w:p>
    <w:p w:rsidR="002A4C66" w:rsidRPr="002A4C66" w:rsidRDefault="002A4C66" w:rsidP="002A4C66">
      <w:pPr>
        <w:spacing w:before="100" w:beforeAutospacing="1" w:after="100" w:afterAutospacing="1" w:line="300" w:lineRule="atLeast"/>
        <w:jc w:val="righ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субъектов Российской Федерации,</w:t>
      </w:r>
    </w:p>
    <w:p w:rsidR="002A4C66" w:rsidRPr="002A4C66" w:rsidRDefault="002A4C66" w:rsidP="002A4C66">
      <w:pPr>
        <w:spacing w:before="100" w:beforeAutospacing="1" w:after="100" w:afterAutospacing="1" w:line="300" w:lineRule="atLeast"/>
        <w:jc w:val="righ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осуществляющие государственное</w:t>
      </w:r>
    </w:p>
    <w:p w:rsidR="002A4C66" w:rsidRPr="002A4C66" w:rsidRDefault="002A4C66" w:rsidP="002A4C66">
      <w:pPr>
        <w:spacing w:before="100" w:beforeAutospacing="1" w:after="100" w:afterAutospacing="1" w:line="300" w:lineRule="atLeast"/>
        <w:jc w:val="righ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управление в сфере образования</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w:t>
      </w:r>
    </w:p>
    <w:p w:rsidR="002A4C66" w:rsidRPr="002A4C66" w:rsidRDefault="002A4C66" w:rsidP="002A4C66">
      <w:pPr>
        <w:spacing w:before="100" w:beforeAutospacing="1" w:after="100" w:afterAutospacing="1" w:line="300" w:lineRule="atLeast"/>
        <w:jc w:val="center"/>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Министерство образования и науки Российской Федерации (Минобрнауки России)</w:t>
      </w:r>
    </w:p>
    <w:p w:rsidR="002A4C66" w:rsidRPr="002A4C66" w:rsidRDefault="002A4C66" w:rsidP="002A4C66">
      <w:pPr>
        <w:spacing w:before="100" w:beforeAutospacing="1" w:after="100" w:afterAutospacing="1" w:line="300" w:lineRule="atLeast"/>
        <w:jc w:val="center"/>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Департамент общего образования</w:t>
      </w:r>
    </w:p>
    <w:p w:rsidR="002A4C66" w:rsidRPr="002A4C66" w:rsidRDefault="002A4C66" w:rsidP="002A4C66">
      <w:pPr>
        <w:spacing w:before="100" w:beforeAutospacing="1" w:after="100" w:afterAutospacing="1" w:line="300" w:lineRule="atLeast"/>
        <w:jc w:val="center"/>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28 февраля 2014 год № 08-249</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 </w:t>
      </w:r>
    </w:p>
    <w:p w:rsidR="002A4C66" w:rsidRPr="002A4C66" w:rsidRDefault="002A4C66" w:rsidP="002A4C66">
      <w:pPr>
        <w:spacing w:before="100" w:beforeAutospacing="1" w:after="100" w:afterAutospacing="1" w:line="300" w:lineRule="atLeast"/>
        <w:jc w:val="center"/>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ФГОС дошкольного образования</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Минобрнауки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Минобрнауки России от 17 октября 2013 г №1155 (зарегистрирован в Минюсте России 14 ноября 2013 г. №30384).</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Приложение: на л. в 1 экз.</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Заместитель директора Департамента                                                                                                                                             Ю.В. Смирнова</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lastRenderedPageBreak/>
        <w:br w:type="textWrapping" w:clear="all"/>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w:t>
      </w:r>
    </w:p>
    <w:p w:rsidR="002A4C66" w:rsidRPr="002A4C66" w:rsidRDefault="002A4C66" w:rsidP="002A4C66">
      <w:pPr>
        <w:spacing w:before="100" w:beforeAutospacing="1" w:after="100" w:afterAutospacing="1" w:line="300" w:lineRule="atLeast"/>
        <w:jc w:val="righ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Приложение</w:t>
      </w:r>
    </w:p>
    <w:p w:rsidR="002A4C66" w:rsidRPr="002A4C66" w:rsidRDefault="002A4C66" w:rsidP="002A4C66">
      <w:pPr>
        <w:spacing w:before="100" w:beforeAutospacing="1" w:after="100" w:afterAutospacing="1" w:line="300" w:lineRule="atLeast"/>
        <w:jc w:val="center"/>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федеральному государственному образовательному стандарту дошкольного образования</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 пункта 1.3. подпункта 2</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 пункта 2.2.</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lastRenderedPageBreak/>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ДО.</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 пункта 2.5.</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Минобрнауки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w:t>
      </w:r>
      <w:r w:rsidRPr="002A4C66">
        <w:rPr>
          <w:rFonts w:ascii="PT Sans" w:eastAsia="Times New Roman" w:hAnsi="PT Sans" w:cs="Times New Roman"/>
          <w:color w:val="444444"/>
          <w:sz w:val="21"/>
          <w:szCs w:val="21"/>
          <w:lang w:eastAsia="ru-RU"/>
        </w:rPr>
        <w:lastRenderedPageBreak/>
        <w:t>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 пункта 2.7. (первый абзац)</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 пункта 2.9. (второй абзац)</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Данная статья ФГОС ДО подчеркивает взаимодополняющий характер детского развития в пяти образовательных областях.</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 пункта 2.10.</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lastRenderedPageBreak/>
        <w:t>Комментарии к разделу III пункта 3.1.</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III пункта 3.2.2. и к 3.4.4.</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III пункта 3.2.3.</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xml:space="preserve">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w:t>
      </w:r>
      <w:r w:rsidRPr="002A4C66">
        <w:rPr>
          <w:rFonts w:ascii="PT Sans" w:eastAsia="Times New Roman" w:hAnsi="PT Sans" w:cs="Times New Roman"/>
          <w:color w:val="444444"/>
          <w:sz w:val="21"/>
          <w:szCs w:val="21"/>
          <w:lang w:eastAsia="ru-RU"/>
        </w:rPr>
        <w:lastRenderedPageBreak/>
        <w:t>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статье предусмотрены задачи, для решения которых могут использоваться результаты педагогической диагностики:</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2. оптимизация работы с группой детей.</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Положением о психолого-медико-педагогической комиссии, утвержденным приказом Минобрнауки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пунктом 10 вышеуказанного Положения основными направлениями деятельности комиссии являются:</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lastRenderedPageBreak/>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девиантным (общественно опасным) поведением;</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д) осуществление учета данных о детях с ограниченными возможностями здоровья и (или) девиантным (общественно опасным) поведением, проживающих на территории деятельности комиссии;</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III пункта 3.2.4.</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детей с тяжелыми нарушениями речи - 6 и 10 детей;</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детей с фонетико-фонематическими нарушениями речи в возрасте старше 3 лет -12 детей;</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глухих детей - 6 детей для обеих возрастных групп;</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слабослышащих детей - 6 и 8 детей;</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lastRenderedPageBreak/>
        <w:t>- для слепых детей - 6 детей для обеих возрастных групп;</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слабовидящих детей, для детей с амблиопией, косоглазием - 6 и детей;</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детей с нарушениями опорно-двигательного аппарата - 6 и 8 детей:</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детей с задержкой психического развития - 6 и 10 детей;</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детей с умственной отсталостью легкой степени - 6 и 10 детей;</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детей с умственной отсталостью умеренной, тяжелой в возрасте старше 3 лет - 8 детей;</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детей с аутизмом только в возрасте старше 3 лет - 5 детей;</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Рекомендуемое количество детей в группах комбинированной направленности:</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а) до 3 лет - не более 10 детей, в том числе не более 3 детей ограниченными возможностями здоровья;</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б) старше 3 лет:</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не более 15 детей, в том числе не более 4 слабовидящих и (или) детей амблиопией и (или) косоглазием, или слабослышащих детей, или детёй, имеющих тяжелые нарушения речи, или детей с умственной отсталостью легкой степени;</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не более 17 детей, в том числе не более 5 детей с задержкой психического развития.</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III пункта 3.2.6. подпункта 1</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xml:space="preserve">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w:t>
      </w:r>
      <w:r w:rsidRPr="002A4C66">
        <w:rPr>
          <w:rFonts w:ascii="PT Sans" w:eastAsia="Times New Roman" w:hAnsi="PT Sans" w:cs="Times New Roman"/>
          <w:color w:val="444444"/>
          <w:sz w:val="21"/>
          <w:szCs w:val="21"/>
          <w:lang w:eastAsia="ru-RU"/>
        </w:rPr>
        <w:lastRenderedPageBreak/>
        <w:t>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III пункта 3.2.7.</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Минобрнауки России от 20 сентября 2013 г. №1082 «Об утверждении Положения о психолого-медико-педагогической комиссии»).</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III пункта 3.3.5.</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Минобрнауки России от 1 октября 2013 г. №08-1408).</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III пункта 3.4.1.</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Минздравсоцразвития России от 26 августа 2010 г. №761н «Эб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w:t>
      </w:r>
      <w:r w:rsidRPr="002A4C66">
        <w:rPr>
          <w:rFonts w:ascii="PT Sans" w:eastAsia="Times New Roman" w:hAnsi="PT Sans" w:cs="Times New Roman"/>
          <w:color w:val="444444"/>
          <w:sz w:val="21"/>
          <w:szCs w:val="21"/>
          <w:lang w:eastAsia="ru-RU"/>
        </w:rPr>
        <w:lastRenderedPageBreak/>
        <w:t>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при оформлении результатов наблюдения (мониторинга) за здоровьем, развитием и воспитанием детей, в том числе с помощью электронных форм;</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разработке плана (программы) воспитательной работы;</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III пунктов 3.4.3. и 3.4.4.</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 xml:space="preserve">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w:t>
      </w:r>
      <w:r w:rsidRPr="002A4C66">
        <w:rPr>
          <w:rFonts w:ascii="PT Sans" w:eastAsia="Times New Roman" w:hAnsi="PT Sans" w:cs="Times New Roman"/>
          <w:color w:val="444444"/>
          <w:sz w:val="21"/>
          <w:szCs w:val="21"/>
          <w:lang w:eastAsia="ru-RU"/>
        </w:rPr>
        <w:lastRenderedPageBreak/>
        <w:t>соответствующих педагогов в расчете на одну группу (для обоих случаев) составляет 1 ставку на группу.</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III пункта З.6.</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Минобрнауки России от 1 октября 2013 г. №08-1408.</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IV пункта 4.3.</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2A4C66" w:rsidRPr="002A4C66" w:rsidRDefault="002A4C66" w:rsidP="002A4C66">
      <w:pPr>
        <w:spacing w:before="100" w:beforeAutospacing="1" w:after="100" w:afterAutospacing="1" w:line="300" w:lineRule="atLeast"/>
        <w:rPr>
          <w:rFonts w:ascii="PT Sans" w:eastAsia="Times New Roman" w:hAnsi="PT Sans" w:cs="Times New Roman"/>
          <w:color w:val="444444"/>
          <w:sz w:val="21"/>
          <w:szCs w:val="21"/>
          <w:lang w:eastAsia="ru-RU"/>
        </w:rPr>
      </w:pPr>
      <w:r w:rsidRPr="002A4C66">
        <w:rPr>
          <w:rFonts w:ascii="PT Sans" w:eastAsia="Times New Roman" w:hAnsi="PT Sans" w:cs="Times New Roman"/>
          <w:b/>
          <w:bCs/>
          <w:color w:val="444444"/>
          <w:sz w:val="21"/>
          <w:szCs w:val="21"/>
          <w:lang w:eastAsia="ru-RU"/>
        </w:rPr>
        <w:t>Комментарии к разделу IV пункта 4.5.</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2A4C66" w:rsidRPr="002A4C66" w:rsidRDefault="002A4C66" w:rsidP="002A4C6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2A4C66">
        <w:rPr>
          <w:rFonts w:ascii="PT Sans" w:eastAsia="Times New Roman" w:hAnsi="PT Sans" w:cs="Times New Roman"/>
          <w:color w:val="444444"/>
          <w:sz w:val="21"/>
          <w:szCs w:val="21"/>
          <w:lang w:eastAsia="ru-RU"/>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32686C" w:rsidRDefault="0032686C">
      <w:bookmarkStart w:id="0" w:name="_GoBack"/>
      <w:bookmarkEnd w:id="0"/>
    </w:p>
    <w:sectPr w:rsidR="00326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uprum">
    <w:altName w:val="Times New Roman"/>
    <w:charset w:val="00"/>
    <w:family w:val="auto"/>
    <w:pitch w:val="default"/>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73C"/>
    <w:multiLevelType w:val="multilevel"/>
    <w:tmpl w:val="5146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3B"/>
    <w:rsid w:val="002A4C66"/>
    <w:rsid w:val="0032686C"/>
    <w:rsid w:val="009D0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372754">
      <w:bodyDiv w:val="1"/>
      <w:marLeft w:val="0"/>
      <w:marRight w:val="0"/>
      <w:marTop w:val="0"/>
      <w:marBottom w:val="0"/>
      <w:divBdr>
        <w:top w:val="none" w:sz="0" w:space="0" w:color="auto"/>
        <w:left w:val="none" w:sz="0" w:space="0" w:color="auto"/>
        <w:bottom w:val="none" w:sz="0" w:space="0" w:color="auto"/>
        <w:right w:val="none" w:sz="0" w:space="0" w:color="auto"/>
      </w:divBdr>
      <w:divsChild>
        <w:div w:id="1474299593">
          <w:marLeft w:val="0"/>
          <w:marRight w:val="0"/>
          <w:marTop w:val="100"/>
          <w:marBottom w:val="100"/>
          <w:divBdr>
            <w:top w:val="none" w:sz="0" w:space="0" w:color="auto"/>
            <w:left w:val="none" w:sz="0" w:space="0" w:color="auto"/>
            <w:bottom w:val="none" w:sz="0" w:space="0" w:color="auto"/>
            <w:right w:val="none" w:sz="0" w:space="0" w:color="auto"/>
          </w:divBdr>
          <w:divsChild>
            <w:div w:id="1112824724">
              <w:marLeft w:val="0"/>
              <w:marRight w:val="0"/>
              <w:marTop w:val="0"/>
              <w:marBottom w:val="0"/>
              <w:divBdr>
                <w:top w:val="none" w:sz="0" w:space="0" w:color="auto"/>
                <w:left w:val="none" w:sz="0" w:space="0" w:color="auto"/>
                <w:bottom w:val="none" w:sz="0" w:space="0" w:color="auto"/>
                <w:right w:val="none" w:sz="0" w:space="0" w:color="auto"/>
              </w:divBdr>
              <w:divsChild>
                <w:div w:id="1765414168">
                  <w:marLeft w:val="0"/>
                  <w:marRight w:val="0"/>
                  <w:marTop w:val="0"/>
                  <w:marBottom w:val="0"/>
                  <w:divBdr>
                    <w:top w:val="none" w:sz="0" w:space="0" w:color="auto"/>
                    <w:left w:val="none" w:sz="0" w:space="0" w:color="auto"/>
                    <w:bottom w:val="none" w:sz="0" w:space="0" w:color="auto"/>
                    <w:right w:val="none" w:sz="0" w:space="0" w:color="auto"/>
                  </w:divBdr>
                  <w:divsChild>
                    <w:div w:id="1409573407">
                      <w:marLeft w:val="0"/>
                      <w:marRight w:val="0"/>
                      <w:marTop w:val="0"/>
                      <w:marBottom w:val="360"/>
                      <w:divBdr>
                        <w:top w:val="none" w:sz="0" w:space="0" w:color="auto"/>
                        <w:left w:val="none" w:sz="0" w:space="0" w:color="auto"/>
                        <w:bottom w:val="dotted" w:sz="6" w:space="18" w:color="CCCCCC"/>
                        <w:right w:val="none" w:sz="0" w:space="0" w:color="auto"/>
                      </w:divBdr>
                      <w:divsChild>
                        <w:div w:id="1398629043">
                          <w:marLeft w:val="0"/>
                          <w:marRight w:val="0"/>
                          <w:marTop w:val="0"/>
                          <w:marBottom w:val="0"/>
                          <w:divBdr>
                            <w:top w:val="none" w:sz="0" w:space="0" w:color="auto"/>
                            <w:left w:val="none" w:sz="0" w:space="0" w:color="auto"/>
                            <w:bottom w:val="none" w:sz="0" w:space="0" w:color="auto"/>
                            <w:right w:val="none" w:sz="0" w:space="0" w:color="auto"/>
                          </w:divBdr>
                        </w:div>
                        <w:div w:id="1042556372">
                          <w:marLeft w:val="0"/>
                          <w:marRight w:val="0"/>
                          <w:marTop w:val="240"/>
                          <w:marBottom w:val="0"/>
                          <w:divBdr>
                            <w:top w:val="dotted" w:sz="6" w:space="2" w:color="CCCCCC"/>
                            <w:left w:val="none" w:sz="0" w:space="0" w:color="auto"/>
                            <w:bottom w:val="dotted" w:sz="6" w:space="2" w:color="CCCCCC"/>
                            <w:right w:val="none" w:sz="0" w:space="0" w:color="auto"/>
                          </w:divBdr>
                        </w:div>
                        <w:div w:id="586500000">
                          <w:marLeft w:val="0"/>
                          <w:marRight w:val="0"/>
                          <w:marTop w:val="0"/>
                          <w:marBottom w:val="0"/>
                          <w:divBdr>
                            <w:top w:val="none" w:sz="0" w:space="0" w:color="auto"/>
                            <w:left w:val="none" w:sz="0" w:space="0" w:color="auto"/>
                            <w:bottom w:val="none" w:sz="0" w:space="0" w:color="auto"/>
                            <w:right w:val="none" w:sz="0" w:space="0" w:color="auto"/>
                          </w:divBdr>
                          <w:divsChild>
                            <w:div w:id="13085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smetod.ru/metodicheskoe-prostranstvo/doshkolnoe-obrazovanie/fgos/kommentarii-k-fgos-doshkolnogo-obrazovaniya-minobrnauki-rossii-ot-28-fevralya-2014-god-08-249.html?print=1&amp;tmpl=compon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4804</Words>
  <Characters>27385</Characters>
  <Application>Microsoft Office Word</Application>
  <DocSecurity>0</DocSecurity>
  <Lines>228</Lines>
  <Paragraphs>64</Paragraphs>
  <ScaleCrop>false</ScaleCrop>
  <Company/>
  <LinksUpToDate>false</LinksUpToDate>
  <CharactersWithSpaces>32125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2014-11-12T09:06:00Z</dcterms:created>
  <dcterms:modified xsi:type="dcterms:W3CDTF">2014-11-12T09:06:00Z</dcterms:modified>
</cp:coreProperties>
</file>